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7C3B11">
        <w:rPr>
          <w:rFonts w:ascii="宋体" w:hAnsi="宋体" w:hint="eastAsia"/>
          <w:color w:val="000000" w:themeColor="text1"/>
          <w:sz w:val="32"/>
          <w:szCs w:val="32"/>
          <w:u w:val="single"/>
        </w:rPr>
        <w:t>2023年办公用品采购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</w:t>
      </w:r>
      <w:r w:rsidR="00B42BF0">
        <w:rPr>
          <w:rFonts w:ascii="宋体" w:hAnsi="宋体" w:hint="eastAsia"/>
          <w:color w:val="000000" w:themeColor="text1"/>
          <w:sz w:val="32"/>
          <w:szCs w:val="32"/>
          <w:u w:val="single"/>
        </w:rPr>
        <w:t>3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0</w:t>
      </w:r>
      <w:r w:rsidR="007C3B11">
        <w:rPr>
          <w:rFonts w:ascii="宋体" w:hAnsi="宋体" w:hint="eastAsia"/>
          <w:color w:val="000000" w:themeColor="text1"/>
          <w:sz w:val="32"/>
          <w:szCs w:val="32"/>
          <w:u w:val="single"/>
        </w:rPr>
        <w:t>31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</w:t>
      </w:r>
      <w:r w:rsidR="00B42BF0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/>
          <w:b/>
          <w:sz w:val="44"/>
          <w:szCs w:val="44"/>
        </w:rPr>
        <w:t>年</w:t>
      </w:r>
      <w:r w:rsidR="007C3B11">
        <w:rPr>
          <w:rFonts w:ascii="宋体" w:hAnsi="宋体" w:hint="eastAsia"/>
          <w:b/>
          <w:sz w:val="44"/>
          <w:szCs w:val="44"/>
        </w:rPr>
        <w:t>9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D173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D173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D173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</w:t>
            </w:r>
            <w:r w:rsidR="001951D0">
              <w:rPr>
                <w:rStyle w:val="ae"/>
                <w:rFonts w:ascii="黑体" w:eastAsia="黑体" w:hint="eastAsia"/>
                <w:noProof/>
                <w:sz w:val="28"/>
                <w:szCs w:val="28"/>
                <w:highlight w:val="white"/>
              </w:rPr>
              <w:t>四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D173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D173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D173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D173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</w:t>
            </w:r>
            <w:r w:rsidR="001951D0">
              <w:rPr>
                <w:rStyle w:val="ae"/>
                <w:rFonts w:ascii="仿宋" w:eastAsia="仿宋" w:hAnsi="仿宋" w:hint="eastAsia"/>
                <w:noProof/>
                <w:spacing w:val="-20"/>
                <w:sz w:val="28"/>
                <w:szCs w:val="28"/>
              </w:rPr>
              <w:t>采购</w:t>
            </w:r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D173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13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1951D0" w:rsidRDefault="001951D0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Default="007C3B11" w:rsidP="007C3B11">
      <w:pPr>
        <w:widowControl/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7C3B11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章 </w:t>
      </w:r>
      <w:r w:rsidR="008160F2" w:rsidRPr="007C3B11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>采购</w:t>
      </w:r>
      <w:r w:rsidR="008160F2" w:rsidRPr="007C3B11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pPr w:leftFromText="180" w:rightFromText="180" w:vertAnchor="page" w:horzAnchor="margin" w:tblpY="2941"/>
        <w:tblW w:w="8760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C306A9" w:rsidRPr="000C6939" w:rsidTr="003C52A9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DF00E9" w:rsidRDefault="00C306A9" w:rsidP="00C306A9">
            <w:pPr>
              <w:widowControl/>
              <w:jc w:val="center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 w:rsidRPr="00DF00E9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3</w:t>
            </w:r>
            <w:r w:rsidRPr="00DF00E9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年度</w:t>
            </w: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办公用品采购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DF00E9" w:rsidRDefault="00C306A9" w:rsidP="00C306A9">
            <w:pPr>
              <w:widowControl/>
              <w:jc w:val="center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 w:rsidRPr="00DF00E9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CG-JZ-202</w:t>
            </w: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3</w:t>
            </w:r>
            <w:r w:rsidRPr="00DF00E9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31</w:t>
            </w:r>
          </w:p>
        </w:tc>
      </w:tr>
      <w:tr w:rsidR="00C306A9" w:rsidRPr="000C6939" w:rsidTr="003C52A9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获取招标询价文件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开始时间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8C0A4A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9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23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1</w:t>
            </w:r>
            <w:r w:rsidR="008C0A4A">
              <w:rPr>
                <w:rFonts w:ascii="宋体" w:hAnsi="宋体" w:cs="Courier New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获取招标询价文件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结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束时间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8C0A4A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9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27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1</w:t>
            </w:r>
            <w:r w:rsidR="008C0A4A">
              <w:rPr>
                <w:rFonts w:ascii="宋体" w:hAnsi="宋体" w:cs="Courier New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：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00</w:t>
            </w:r>
          </w:p>
        </w:tc>
      </w:tr>
      <w:tr w:rsidR="00C306A9" w:rsidRPr="000C6939" w:rsidTr="003C52A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9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27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2020年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9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28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9：00</w:t>
            </w:r>
          </w:p>
        </w:tc>
      </w:tr>
      <w:tr w:rsidR="00C306A9" w:rsidRPr="000C6939" w:rsidTr="003C52A9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DF00E9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3</w:t>
            </w:r>
            <w:r w:rsidRPr="00DF00E9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年度</w:t>
            </w: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办公用品采购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（详见《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询价文件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》）</w:t>
            </w:r>
          </w:p>
        </w:tc>
      </w:tr>
      <w:tr w:rsidR="00C306A9" w:rsidRPr="000C6939" w:rsidTr="003C52A9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30000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公开询价</w:t>
            </w:r>
          </w:p>
        </w:tc>
      </w:tr>
      <w:tr w:rsidR="00C306A9" w:rsidRPr="000C6939" w:rsidTr="003C52A9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投标人的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br/>
              <w:t>资格要求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B5482" w:rsidRDefault="00C306A9" w:rsidP="00C306A9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</w:pPr>
            <w:r w:rsidRPr="000B5482"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投标人应</w:t>
            </w:r>
            <w:r w:rsidRPr="000B5482"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具备《政府采购法》第二十二条规定的条件；</w:t>
            </w:r>
          </w:p>
          <w:p w:rsidR="00C306A9" w:rsidRPr="000B5482" w:rsidRDefault="00C306A9" w:rsidP="00C306A9">
            <w:pPr>
              <w:ind w:firstLineChars="200" w:firstLine="360"/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</w:pPr>
            <w:r w:rsidRPr="000B5482"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,以递交响应文件截止五日内查询结果为准）；</w:t>
            </w:r>
          </w:p>
          <w:p w:rsidR="00C306A9" w:rsidRPr="005C2B24" w:rsidRDefault="00C306A9" w:rsidP="00C306A9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3</w:t>
            </w:r>
            <w:r w:rsidRPr="005C2B24"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投标人经营范围包含本次采购内容；</w:t>
            </w:r>
          </w:p>
          <w:p w:rsidR="00C306A9" w:rsidRPr="000C6939" w:rsidRDefault="00C306A9" w:rsidP="00C306A9">
            <w:pPr>
              <w:widowControl/>
              <w:ind w:firstLineChars="200"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 w:rsidRPr="005C2B2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Pr="005C2B24">
              <w:rPr>
                <w:rFonts w:asciiTheme="minorEastAsia" w:eastAsiaTheme="minorEastAsia" w:hAnsiTheme="minorEastAsia" w:hint="eastAsia"/>
                <w:sz w:val="18"/>
                <w:szCs w:val="18"/>
              </w:rPr>
              <w:t>本项目不接受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投标人以</w:t>
            </w:r>
            <w:r w:rsidRPr="005C2B24">
              <w:rPr>
                <w:rFonts w:asciiTheme="minorEastAsia" w:eastAsiaTheme="minorEastAsia" w:hAnsiTheme="minorEastAsia" w:hint="eastAsia"/>
                <w:sz w:val="18"/>
                <w:szCs w:val="18"/>
              </w:rPr>
              <w:t>联合体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式参与</w:t>
            </w:r>
            <w:proofErr w:type="gramEnd"/>
            <w:r w:rsidRPr="005C2B24"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C306A9" w:rsidRPr="000C6939" w:rsidTr="003C52A9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开标地点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宜昌市高新区发展大道52号宜昌市中级人民法院机关大楼9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01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室</w:t>
            </w:r>
          </w:p>
        </w:tc>
      </w:tr>
      <w:tr w:rsidR="00C306A9" w:rsidRPr="000C6939" w:rsidTr="003C52A9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 xml:space="preserve">      0   (元)*</w:t>
            </w:r>
          </w:p>
        </w:tc>
      </w:tr>
      <w:tr w:rsidR="00C306A9" w:rsidRPr="000C6939" w:rsidTr="003C52A9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C306A9" w:rsidRPr="000C6939" w:rsidTr="003C52A9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网站自行下载、打印</w:t>
            </w:r>
          </w:p>
        </w:tc>
      </w:tr>
      <w:tr w:rsidR="00C306A9" w:rsidRPr="000C6939" w:rsidTr="003C52A9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宜昌市高新区发展大道52号宜昌市中级人民法院机关大楼9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01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5B38E3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冀琦芳</w:t>
            </w:r>
            <w:r w:rsidRPr="005B38E3">
              <w:rPr>
                <w:rFonts w:ascii="宋体" w:hAnsi="宋体" w:cs="Courier New"/>
                <w:kern w:val="0"/>
                <w:sz w:val="18"/>
                <w:szCs w:val="18"/>
              </w:rPr>
              <w:t>1</w:t>
            </w:r>
            <w:r w:rsidRPr="005B38E3">
              <w:rPr>
                <w:rFonts w:ascii="宋体" w:hAnsi="宋体" w:cs="Courier New" w:hint="eastAsia"/>
                <w:kern w:val="0"/>
                <w:sz w:val="18"/>
                <w:szCs w:val="18"/>
              </w:rPr>
              <w:t>9186208825</w:t>
            </w:r>
          </w:p>
        </w:tc>
      </w:tr>
      <w:tr w:rsidR="00C306A9" w:rsidRPr="000C6939" w:rsidTr="003C52A9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06A9" w:rsidRPr="000C6939" w:rsidRDefault="00C306A9" w:rsidP="00C306A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C306A9" w:rsidRPr="000C6939" w:rsidTr="003C52A9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6A9" w:rsidRPr="000C6939" w:rsidRDefault="00C306A9" w:rsidP="00C306A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06A9" w:rsidRPr="000C6939" w:rsidRDefault="00C306A9" w:rsidP="00C306A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  <w:u w:val="single"/>
              </w:rPr>
              <w:t>1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  <w:u w:val="single"/>
              </w:rPr>
              <w:t>9186208825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即可。</w:t>
            </w:r>
          </w:p>
          <w:p w:rsidR="00C306A9" w:rsidRPr="000C6939" w:rsidRDefault="00C306A9" w:rsidP="00C306A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短信内容格式为：</w:t>
            </w:r>
            <w:r w:rsidRPr="00DF00E9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3</w:t>
            </w:r>
            <w:r w:rsidRPr="00DF00E9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年度</w:t>
            </w: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办公用品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，</w:t>
            </w:r>
            <w:r w:rsidRPr="000C6939"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XXXX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公司报名，联系人</w:t>
            </w:r>
            <w:r w:rsidRPr="000C6939"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，联系电话</w:t>
            </w:r>
            <w:r w:rsidRPr="000C6939"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XXXXX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。</w:t>
            </w:r>
          </w:p>
          <w:p w:rsidR="00C306A9" w:rsidRDefault="00C306A9" w:rsidP="00C306A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注意，</w:t>
            </w:r>
            <w:r w:rsidRPr="000C6939">
              <w:rPr>
                <w:rFonts w:ascii="宋体" w:hAnsi="宋体" w:cs="Courier New"/>
                <w:color w:val="FF0000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。</w:t>
            </w:r>
          </w:p>
          <w:p w:rsidR="00C306A9" w:rsidRDefault="00C306A9" w:rsidP="00C306A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二、标书制作</w:t>
            </w:r>
          </w:p>
          <w:p w:rsidR="00C306A9" w:rsidRDefault="00C306A9" w:rsidP="00C306A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1.请认真阅读《询价文件》，按照</w:t>
            </w:r>
            <w:r w:rsidRPr="000C6939">
              <w:rPr>
                <w:rFonts w:ascii="宋体" w:hAnsi="宋体" w:cs="Courier New"/>
                <w:color w:val="FF0000"/>
                <w:kern w:val="0"/>
                <w:sz w:val="18"/>
                <w:szCs w:val="18"/>
                <w:u w:val="single"/>
              </w:rPr>
              <w:t>要求</w:t>
            </w: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提供相关资料。</w:t>
            </w:r>
          </w:p>
          <w:p w:rsidR="00C306A9" w:rsidRPr="000C6939" w:rsidRDefault="00C306A9" w:rsidP="00C306A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0C6939">
              <w:rPr>
                <w:rFonts w:ascii="宋体" w:hAnsi="宋体" w:cs="Courier New"/>
                <w:kern w:val="0"/>
                <w:sz w:val="18"/>
                <w:szCs w:val="18"/>
              </w:rPr>
              <w:t>2.标书密封递交。</w:t>
            </w:r>
          </w:p>
        </w:tc>
      </w:tr>
    </w:tbl>
    <w:p w:rsidR="007C3B11" w:rsidRPr="007C3B11" w:rsidRDefault="007C3B11" w:rsidP="007C3B11">
      <w:pPr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C306A9" w:rsidP="00C306A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 w:rsidRPr="00C306A9">
              <w:rPr>
                <w:rFonts w:ascii="宋体"/>
                <w:color w:val="000000" w:themeColor="text1"/>
                <w:highlight w:val="white"/>
              </w:rPr>
              <w:t>202</w:t>
            </w:r>
            <w:r w:rsidRPr="00C306A9">
              <w:rPr>
                <w:rFonts w:ascii="宋体" w:hint="eastAsia"/>
                <w:color w:val="000000" w:themeColor="text1"/>
                <w:highlight w:val="white"/>
              </w:rPr>
              <w:t>3</w:t>
            </w:r>
            <w:r w:rsidRPr="00C306A9">
              <w:rPr>
                <w:rFonts w:ascii="宋体"/>
                <w:color w:val="000000" w:themeColor="text1"/>
                <w:highlight w:val="white"/>
              </w:rPr>
              <w:t>年度</w:t>
            </w:r>
            <w:r w:rsidRPr="00C306A9">
              <w:rPr>
                <w:rFonts w:ascii="宋体" w:hint="eastAsia"/>
                <w:color w:val="000000" w:themeColor="text1"/>
                <w:highlight w:val="white"/>
              </w:rPr>
              <w:t>办公用品采购项目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C3B11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C3B11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冀琦芳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4B5F04" w:rsidRPr="004B5F04">
              <w:rPr>
                <w:rFonts w:ascii="宋体" w:hAnsi="宋体" w:cs="Courier New"/>
                <w:color w:val="000000" w:themeColor="text1"/>
                <w:kern w:val="0"/>
                <w:sz w:val="21"/>
                <w:szCs w:val="21"/>
              </w:rPr>
              <w:t>19186208825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E61D21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0" w:name="EB8eacfa6c94664a9face7716085c3de39"/>
            <w:bookmarkEnd w:id="10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E61D21" w:rsidRPr="00F75C93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E61D21" w:rsidRPr="009D6DEA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E61D21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C306A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B42BF0">
              <w:rPr>
                <w:rFonts w:ascii="宋体" w:hint="eastAsia"/>
                <w:color w:val="000000" w:themeColor="text1"/>
                <w:u w:val="single"/>
              </w:rPr>
              <w:t>3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6C2C26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C306A9">
              <w:rPr>
                <w:rFonts w:ascii="宋体" w:hint="eastAsia"/>
                <w:color w:val="000000" w:themeColor="text1"/>
                <w:u w:val="single"/>
              </w:rPr>
              <w:t>27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C306A9">
              <w:rPr>
                <w:rFonts w:ascii="宋体" w:hint="eastAsia"/>
                <w:color w:val="000000" w:themeColor="text1"/>
                <w:u w:val="single"/>
              </w:rPr>
              <w:t>16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6C2C26">
              <w:rPr>
                <w:rFonts w:ascii="宋体" w:hint="eastAsia"/>
                <w:color w:val="000000" w:themeColor="text1"/>
                <w:u w:val="single"/>
              </w:rPr>
              <w:t>00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 w:rsidR="00B67DDD"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B42BF0">
              <w:rPr>
                <w:rFonts w:ascii="宋体" w:hint="eastAsia"/>
                <w:color w:val="000000" w:themeColor="text1"/>
                <w:u w:val="single"/>
              </w:rPr>
              <w:t>3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6C2C26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B50460">
              <w:rPr>
                <w:rFonts w:ascii="宋体" w:hint="eastAsia"/>
                <w:color w:val="000000" w:themeColor="text1"/>
                <w:u w:val="single"/>
              </w:rPr>
              <w:t>2</w:t>
            </w:r>
            <w:r w:rsidR="00C306A9">
              <w:rPr>
                <w:rFonts w:ascii="宋体" w:hint="eastAsia"/>
                <w:color w:val="000000" w:themeColor="text1"/>
                <w:u w:val="single"/>
              </w:rPr>
              <w:t>8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6C2C26">
              <w:rPr>
                <w:rFonts w:ascii="宋体" w:hint="eastAsia"/>
                <w:color w:val="000000" w:themeColor="text1"/>
                <w:u w:val="single"/>
              </w:rPr>
              <w:t>00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  <w:p w:rsidR="008160F2" w:rsidRPr="009D6DEA" w:rsidRDefault="008160F2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4" w:name="EBef5445ff1ef7442fbdda1c45ae91212e"/>
            <w:bookmarkStart w:id="15" w:name="EBe8e15a5c3d60466d96685eb4172510c8"/>
            <w:bookmarkEnd w:id="14"/>
            <w:bookmarkEnd w:id="15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 w:rsidR="00E61D21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</w:t>
            </w:r>
            <w:r w:rsidR="00EB18DC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01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6" w:name="EBe4c157201c9c475c8c9e7f1d2c489bc6"/>
            <w:bookmarkEnd w:id="16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7" w:name="EB38d2be05fe6c46238c6ac57496bcd1cc"/>
            <w:bookmarkEnd w:id="17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4B5F04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</w:t>
            </w:r>
            <w:r w:rsidR="004B5F04">
              <w:rPr>
                <w:rFonts w:ascii="宋体" w:hint="eastAsia"/>
                <w:color w:val="000000" w:themeColor="text1"/>
                <w:highlight w:val="white"/>
              </w:rPr>
              <w:t>壹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份，供应商应将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8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8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151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A4750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</w:t>
            </w:r>
            <w:r w:rsidR="00A4750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询价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951D0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四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19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1951D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采购</w:t>
      </w:r>
      <w:r w:rsidR="006976A0" w:rsidRPr="009D6DEA">
        <w:rPr>
          <w:rFonts w:ascii="仿宋" w:eastAsia="仿宋" w:hAnsi="仿宋"/>
          <w:color w:val="000000" w:themeColor="text1"/>
          <w:sz w:val="28"/>
          <w:szCs w:val="28"/>
        </w:rPr>
        <w:t>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="006976A0"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0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0"/>
    </w:p>
    <w:p w:rsidR="009A2DBD" w:rsidRPr="009D6DEA" w:rsidRDefault="009A2DBD" w:rsidP="006C2C26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6C2C26" w:rsidRDefault="0088264D" w:rsidP="009A2DBD">
      <w:pPr>
        <w:pStyle w:val="20"/>
        <w:jc w:val="distribute"/>
        <w:rPr>
          <w:rFonts w:asciiTheme="majorEastAsia" w:eastAsiaTheme="majorEastAsia" w:hAnsiTheme="majorEastAsia"/>
          <w:b/>
          <w:bCs/>
          <w:color w:val="000000" w:themeColor="text1"/>
          <w:spacing w:val="-20"/>
          <w:sz w:val="48"/>
          <w:szCs w:val="48"/>
        </w:rPr>
      </w:pPr>
      <w:r w:rsidRPr="006C2C26">
        <w:rPr>
          <w:rFonts w:asciiTheme="majorEastAsia" w:eastAsiaTheme="majorEastAsia" w:hAnsiTheme="majorEastAsia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6C2C26">
        <w:rPr>
          <w:rFonts w:asciiTheme="majorEastAsia" w:eastAsiaTheme="majorEastAsia" w:hAnsiTheme="majorEastAsia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6C2C26">
        <w:rPr>
          <w:rFonts w:asciiTheme="majorEastAsia" w:eastAsiaTheme="majorEastAsia" w:hAnsiTheme="majorEastAsia"/>
          <w:b/>
          <w:bCs/>
          <w:color w:val="000000" w:themeColor="text1"/>
          <w:spacing w:val="-20"/>
          <w:sz w:val="48"/>
          <w:szCs w:val="48"/>
        </w:rPr>
        <w:t>法院</w:t>
      </w:r>
      <w:r w:rsidRPr="006C2C26">
        <w:rPr>
          <w:rFonts w:asciiTheme="majorEastAsia" w:eastAsiaTheme="majorEastAsia" w:hAnsiTheme="majorEastAsia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1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1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1951D0">
        <w:rPr>
          <w:rFonts w:ascii="宋体" w:hint="eastAsia"/>
          <w:color w:val="000000" w:themeColor="text1"/>
          <w:kern w:val="0"/>
          <w:szCs w:val="28"/>
        </w:rPr>
        <w:t>采购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2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2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3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3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Default="00850179" w:rsidP="002574C5"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2574C5" w:rsidRPr="009D6DEA" w:rsidRDefault="002574C5" w:rsidP="002574C5"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850179" w:rsidRDefault="006976A0" w:rsidP="001951D0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5318C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采购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清单</w:t>
      </w:r>
      <w:bookmarkEnd w:id="24"/>
    </w:p>
    <w:p w:rsidR="001951D0" w:rsidRDefault="001D173E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1D173E">
        <w:drawing>
          <wp:inline distT="0" distB="0" distL="0" distR="0" wp14:anchorId="3DDC66F8" wp14:editId="4B671827">
            <wp:extent cx="5427980" cy="7877127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787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5" w:name="_GoBack"/>
      <w:bookmarkEnd w:id="25"/>
    </w:p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lastRenderedPageBreak/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</w:t>
      </w:r>
      <w:r w:rsidR="00FE61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其他</w:t>
      </w: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6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7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6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7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10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D0" w:rsidRDefault="001951D0">
      <w:r>
        <w:separator/>
      </w:r>
    </w:p>
  </w:endnote>
  <w:endnote w:type="continuationSeparator" w:id="0">
    <w:p w:rsidR="001951D0" w:rsidRDefault="0019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1951D0" w:rsidRDefault="001951D0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73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73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51D0" w:rsidRDefault="001951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D0" w:rsidRDefault="001951D0">
      <w:r>
        <w:separator/>
      </w:r>
    </w:p>
  </w:footnote>
  <w:footnote w:type="continuationSeparator" w:id="0">
    <w:p w:rsidR="001951D0" w:rsidRDefault="0019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9E70F8"/>
    <w:multiLevelType w:val="hybridMultilevel"/>
    <w:tmpl w:val="E882797C"/>
    <w:lvl w:ilvl="0" w:tplc="961AFA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2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02F41"/>
    <w:rsid w:val="00024625"/>
    <w:rsid w:val="00081AD4"/>
    <w:rsid w:val="000C6939"/>
    <w:rsid w:val="000F720D"/>
    <w:rsid w:val="001117CF"/>
    <w:rsid w:val="00112C1A"/>
    <w:rsid w:val="0013088F"/>
    <w:rsid w:val="0013180D"/>
    <w:rsid w:val="001338CF"/>
    <w:rsid w:val="00151399"/>
    <w:rsid w:val="00151D73"/>
    <w:rsid w:val="00170525"/>
    <w:rsid w:val="00191B6F"/>
    <w:rsid w:val="00192FE4"/>
    <w:rsid w:val="001951D0"/>
    <w:rsid w:val="001C1300"/>
    <w:rsid w:val="001D173E"/>
    <w:rsid w:val="001F30E7"/>
    <w:rsid w:val="002054EB"/>
    <w:rsid w:val="002146C7"/>
    <w:rsid w:val="00226376"/>
    <w:rsid w:val="00241549"/>
    <w:rsid w:val="00245C86"/>
    <w:rsid w:val="0025612D"/>
    <w:rsid w:val="002574C5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F09A7"/>
    <w:rsid w:val="004158DB"/>
    <w:rsid w:val="00425BF1"/>
    <w:rsid w:val="00433C91"/>
    <w:rsid w:val="00463DA1"/>
    <w:rsid w:val="004846A5"/>
    <w:rsid w:val="00485780"/>
    <w:rsid w:val="004973C0"/>
    <w:rsid w:val="004A135A"/>
    <w:rsid w:val="004B5F04"/>
    <w:rsid w:val="004C0B64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73D67"/>
    <w:rsid w:val="006976A0"/>
    <w:rsid w:val="006B4095"/>
    <w:rsid w:val="006C2C26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C3B11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0A4A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47508"/>
    <w:rsid w:val="00A530F8"/>
    <w:rsid w:val="00AA2A17"/>
    <w:rsid w:val="00AA35A3"/>
    <w:rsid w:val="00AC52A2"/>
    <w:rsid w:val="00B040F7"/>
    <w:rsid w:val="00B42BF0"/>
    <w:rsid w:val="00B44F80"/>
    <w:rsid w:val="00B4658C"/>
    <w:rsid w:val="00B50460"/>
    <w:rsid w:val="00B67DDD"/>
    <w:rsid w:val="00B84CA0"/>
    <w:rsid w:val="00BA05DF"/>
    <w:rsid w:val="00BA53B2"/>
    <w:rsid w:val="00BA7074"/>
    <w:rsid w:val="00BB2290"/>
    <w:rsid w:val="00BB3550"/>
    <w:rsid w:val="00BE512B"/>
    <w:rsid w:val="00BF0646"/>
    <w:rsid w:val="00BF14BF"/>
    <w:rsid w:val="00C306A9"/>
    <w:rsid w:val="00C82198"/>
    <w:rsid w:val="00CA0EFA"/>
    <w:rsid w:val="00CF5432"/>
    <w:rsid w:val="00CF621D"/>
    <w:rsid w:val="00D12807"/>
    <w:rsid w:val="00D46818"/>
    <w:rsid w:val="00D46EEB"/>
    <w:rsid w:val="00DA28B8"/>
    <w:rsid w:val="00DA5253"/>
    <w:rsid w:val="00DA6F68"/>
    <w:rsid w:val="00DC1DED"/>
    <w:rsid w:val="00DD65A7"/>
    <w:rsid w:val="00E02203"/>
    <w:rsid w:val="00E268C2"/>
    <w:rsid w:val="00E322EF"/>
    <w:rsid w:val="00E35499"/>
    <w:rsid w:val="00E46B5B"/>
    <w:rsid w:val="00E5476B"/>
    <w:rsid w:val="00E61D21"/>
    <w:rsid w:val="00E84D83"/>
    <w:rsid w:val="00E85931"/>
    <w:rsid w:val="00EA2570"/>
    <w:rsid w:val="00EB18DC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6189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CCBB-B015-4E02-AE67-6216AD74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688</Words>
  <Characters>3924</Characters>
  <Application>Microsoft Office Word</Application>
  <DocSecurity>0</DocSecurity>
  <Lines>32</Lines>
  <Paragraphs>9</Paragraphs>
  <ScaleCrop>false</ScaleCrop>
  <Company>china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余焕春</cp:lastModifiedBy>
  <cp:revision>9</cp:revision>
  <cp:lastPrinted>2023-07-10T01:03:00Z</cp:lastPrinted>
  <dcterms:created xsi:type="dcterms:W3CDTF">2023-09-01T01:22:00Z</dcterms:created>
  <dcterms:modified xsi:type="dcterms:W3CDTF">2023-09-22T03:33:00Z</dcterms:modified>
</cp:coreProperties>
</file>