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CA1474">
        <w:rPr>
          <w:rFonts w:ascii="仿宋_GB2312" w:eastAsia="仿宋_GB2312" w:hAnsi="仿宋"/>
          <w:color w:val="0C0C0C"/>
          <w:sz w:val="32"/>
          <w:szCs w:val="32"/>
        </w:rPr>
        <w:t>0105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623020">
        <w:rPr>
          <w:rFonts w:ascii="仿宋_GB2312" w:eastAsia="仿宋_GB2312" w:hAnsi="仿宋" w:hint="eastAsia"/>
          <w:color w:val="0C0C0C"/>
          <w:sz w:val="32"/>
          <w:szCs w:val="32"/>
        </w:rPr>
        <w:t>万锋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6230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230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230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6230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6230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湖北省兴山县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623020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2008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08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第35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万锋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无期徒刑，</w:t>
      </w:r>
      <w:r>
        <w:rPr>
          <w:rFonts w:ascii="仿宋_GB2312" w:eastAsia="仿宋_GB2312" w:hAnsi="仿宋"/>
          <w:color w:val="0C0C0C"/>
          <w:sz w:val="32"/>
          <w:szCs w:val="32"/>
        </w:rPr>
        <w:t>剥剥夺政治权利终身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>
        <w:rPr>
          <w:rFonts w:ascii="仿宋_GB2312" w:eastAsia="仿宋_GB2312" w:hAnsi="仿宋" w:hint="eastAsia"/>
          <w:sz w:val="32"/>
          <w:szCs w:val="32"/>
        </w:rPr>
        <w:t>万锋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>
        <w:rPr>
          <w:rFonts w:ascii="仿宋_GB2312" w:eastAsia="仿宋_GB2312" w:hAnsi="仿宋" w:hint="eastAsia"/>
          <w:sz w:val="32"/>
          <w:szCs w:val="32"/>
        </w:rPr>
        <w:t>高级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人民法院于20</w:t>
      </w:r>
      <w:r>
        <w:rPr>
          <w:rFonts w:ascii="仿宋_GB2312" w:eastAsia="仿宋_GB2312" w:hAnsi="仿宋"/>
          <w:sz w:val="32"/>
          <w:szCs w:val="32"/>
        </w:rPr>
        <w:t>09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25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>
        <w:rPr>
          <w:rFonts w:ascii="仿宋_GB2312" w:eastAsia="仿宋_GB2312" w:hAnsi="仿宋"/>
          <w:sz w:val="32"/>
          <w:szCs w:val="32"/>
        </w:rPr>
        <w:t>09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）鄂刑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终</w:t>
      </w:r>
      <w:r>
        <w:rPr>
          <w:rFonts w:ascii="仿宋_GB2312" w:eastAsia="仿宋_GB2312" w:hAnsi="仿宋" w:hint="eastAsia"/>
          <w:sz w:val="32"/>
          <w:szCs w:val="32"/>
        </w:rPr>
        <w:t>字</w:t>
      </w:r>
      <w:r>
        <w:rPr>
          <w:rFonts w:ascii="仿宋_GB2312" w:eastAsia="仿宋_GB2312" w:hAnsi="仿宋"/>
          <w:sz w:val="32"/>
          <w:szCs w:val="32"/>
        </w:rPr>
        <w:t>第8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号刑事</w:t>
      </w:r>
      <w:r>
        <w:rPr>
          <w:rFonts w:ascii="仿宋_GB2312" w:eastAsia="仿宋_GB2312" w:hAnsi="仿宋" w:hint="eastAsia"/>
          <w:sz w:val="32"/>
          <w:szCs w:val="32"/>
        </w:rPr>
        <w:t>裁定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驳回上诉，</w:t>
      </w:r>
      <w:r>
        <w:rPr>
          <w:rFonts w:ascii="仿宋_GB2312" w:eastAsia="仿宋_GB2312" w:hAnsi="仿宋"/>
          <w:sz w:val="32"/>
          <w:szCs w:val="32"/>
        </w:rPr>
        <w:t>维持原判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09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高级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人民法院裁定，于20</w:t>
      </w:r>
      <w:r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年3月</w:t>
      </w:r>
      <w:r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为有期徒刑</w:t>
      </w:r>
      <w:r>
        <w:rPr>
          <w:rFonts w:ascii="仿宋_GB2312" w:eastAsia="仿宋_GB2312" w:hAnsi="仿宋"/>
          <w:color w:val="0C0C0C"/>
          <w:sz w:val="32"/>
          <w:szCs w:val="32"/>
        </w:rPr>
        <w:t>十八年六个月，剥夺政治权利八年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>
        <w:rPr>
          <w:rFonts w:ascii="仿宋_GB2312" w:eastAsia="仿宋_GB2312" w:hAnsi="仿宋"/>
          <w:color w:val="0C0C0C"/>
          <w:sz w:val="32"/>
          <w:szCs w:val="32"/>
        </w:rPr>
        <w:t>13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>
        <w:rPr>
          <w:rFonts w:ascii="仿宋_GB2312" w:eastAsia="仿宋_GB2312" w:hAnsi="仿宋"/>
          <w:color w:val="0C0C0C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>
        <w:rPr>
          <w:rFonts w:ascii="仿宋_GB2312" w:eastAsia="仿宋_GB2312" w:hAnsi="仿宋"/>
          <w:color w:val="0C0C0C"/>
          <w:sz w:val="32"/>
          <w:szCs w:val="32"/>
        </w:rPr>
        <w:t>18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6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>
        <w:rPr>
          <w:rFonts w:ascii="仿宋_GB2312" w:eastAsia="仿宋_GB2312" w:hAnsi="仿宋"/>
          <w:color w:val="0C0C0C"/>
          <w:sz w:val="32"/>
          <w:szCs w:val="32"/>
        </w:rPr>
        <w:t>2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>
        <w:rPr>
          <w:rFonts w:ascii="仿宋_GB2312" w:eastAsia="仿宋_GB2312" w:hAnsi="仿宋"/>
          <w:color w:val="0C0C0C"/>
          <w:sz w:val="32"/>
          <w:szCs w:val="32"/>
        </w:rPr>
        <w:t>剥夺政治权利八年不变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月1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8F5BBE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623020">
        <w:rPr>
          <w:rFonts w:ascii="仿宋_GB2312" w:eastAsia="仿宋_GB2312" w:hAnsi="仿宋" w:hint="eastAsia"/>
          <w:color w:val="0C0C0C"/>
          <w:sz w:val="32"/>
          <w:szCs w:val="32"/>
        </w:rPr>
        <w:t>万锋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F5BBE" w:rsidRP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本次考核期内获得表扬2个：2021年3月、2021年8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8F5BBE" w:rsidRP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</w:t>
      </w:r>
      <w:r w:rsidR="008F5BBE" w:rsidRP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考核期内获得表扬及物质奖励3个：2022年1月、2022年6月、2022年11月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F5BBE" w:rsidRP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本次考核期内获得物质奖励2个：2023年4月、2023年9月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6230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万锋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8F5B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623020">
        <w:rPr>
          <w:rFonts w:ascii="仿宋_GB2312" w:eastAsia="仿宋_GB2312" w:hAnsi="仿宋" w:hint="eastAsia"/>
          <w:color w:val="0C0C0C"/>
          <w:sz w:val="32"/>
          <w:szCs w:val="32"/>
        </w:rPr>
        <w:t>万锋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6698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款之规定，建议将罪犯</w:t>
      </w:r>
      <w:r w:rsidR="00623020">
        <w:rPr>
          <w:rFonts w:ascii="仿宋_GB2312" w:eastAsia="仿宋_GB2312" w:hAnsi="仿宋" w:hint="eastAsia"/>
          <w:color w:val="0C0C0C"/>
          <w:sz w:val="32"/>
          <w:szCs w:val="32"/>
        </w:rPr>
        <w:t>万锋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8F5B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F5B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剥夺政治权利八年不变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A1474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96" w:rsidRDefault="00B73896" w:rsidP="00597579">
      <w:r>
        <w:separator/>
      </w:r>
    </w:p>
  </w:endnote>
  <w:endnote w:type="continuationSeparator" w:id="0">
    <w:p w:rsidR="00B73896" w:rsidRDefault="00B7389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96" w:rsidRDefault="00B73896" w:rsidP="00597579">
      <w:r>
        <w:separator/>
      </w:r>
    </w:p>
  </w:footnote>
  <w:footnote w:type="continuationSeparator" w:id="0">
    <w:p w:rsidR="00B73896" w:rsidRDefault="00B7389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623020"/>
    <w:rsid w:val="007633EA"/>
    <w:rsid w:val="007916AD"/>
    <w:rsid w:val="0089478A"/>
    <w:rsid w:val="008F5BBE"/>
    <w:rsid w:val="0090039E"/>
    <w:rsid w:val="009D474E"/>
    <w:rsid w:val="00AB7854"/>
    <w:rsid w:val="00B73896"/>
    <w:rsid w:val="00CA057C"/>
    <w:rsid w:val="00CA1474"/>
    <w:rsid w:val="00CC57AB"/>
    <w:rsid w:val="00D25388"/>
    <w:rsid w:val="00D6071C"/>
    <w:rsid w:val="00D6698A"/>
    <w:rsid w:val="00E8357C"/>
    <w:rsid w:val="00FB7F46"/>
    <w:rsid w:val="00FE0BA0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A147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A14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11</cp:revision>
  <cp:lastPrinted>2024-09-17T11:24:00Z</cp:lastPrinted>
  <dcterms:created xsi:type="dcterms:W3CDTF">2024-01-03T02:46:00Z</dcterms:created>
  <dcterms:modified xsi:type="dcterms:W3CDTF">2024-09-17T11:24:00Z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