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E81D7B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）鄂宜监减字第</w:t>
      </w:r>
      <w:r w:rsidR="00E81D7B">
        <w:rPr>
          <w:rFonts w:ascii="仿宋_GB2312" w:eastAsia="仿宋_GB2312" w:hAnsi="仿宋"/>
          <w:color w:val="0C0C0C"/>
          <w:sz w:val="32"/>
          <w:szCs w:val="32"/>
        </w:rPr>
        <w:t>0011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王长兵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个体工商户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五峰县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字第3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王长兵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生产、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销售有毒食品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生产、销售伪劣产品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罪，数罪并罚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，决定执行死刑，缓期二年执行，剥夺政治权利终身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罚金99万元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，赔偿附带民事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诉讼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原告人经济损失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2万元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AB0457">
        <w:rPr>
          <w:rFonts w:ascii="仿宋_GB2312" w:eastAsia="仿宋_GB2312" w:hAnsi="仿宋" w:hint="eastAsia"/>
          <w:sz w:val="32"/>
          <w:szCs w:val="32"/>
        </w:rPr>
        <w:t>王长兵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AB0457">
        <w:rPr>
          <w:rFonts w:ascii="仿宋_GB2312" w:eastAsia="仿宋_GB2312" w:hAnsi="仿宋"/>
          <w:sz w:val="32"/>
          <w:szCs w:val="32"/>
        </w:rPr>
        <w:t>11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AB0457">
        <w:rPr>
          <w:rFonts w:ascii="仿宋_GB2312" w:eastAsia="仿宋_GB2312" w:hAnsi="仿宋"/>
          <w:sz w:val="32"/>
          <w:szCs w:val="32"/>
        </w:rPr>
        <w:t>8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AB0457">
        <w:rPr>
          <w:rFonts w:ascii="仿宋_GB2312" w:eastAsia="仿宋_GB2312" w:hAnsi="仿宋"/>
          <w:sz w:val="32"/>
          <w:szCs w:val="32"/>
        </w:rPr>
        <w:t>25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AB0457">
        <w:rPr>
          <w:rFonts w:ascii="仿宋_GB2312" w:eastAsia="仿宋_GB2312" w:hAnsi="仿宋"/>
          <w:sz w:val="32"/>
          <w:szCs w:val="32"/>
        </w:rPr>
        <w:t>11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AB0457">
        <w:rPr>
          <w:rFonts w:ascii="仿宋_GB2312" w:eastAsia="仿宋_GB2312" w:hAnsi="仿宋" w:hint="eastAsia"/>
          <w:sz w:val="32"/>
          <w:szCs w:val="32"/>
        </w:rPr>
        <w:t>一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</w:t>
      </w:r>
      <w:r w:rsidR="00AB0457">
        <w:rPr>
          <w:rFonts w:ascii="仿宋_GB2312" w:eastAsia="仿宋_GB2312" w:hAnsi="仿宋"/>
          <w:sz w:val="32"/>
          <w:szCs w:val="32"/>
        </w:rPr>
        <w:t>35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日减为无期徒刑，剥夺政治权利终身。经湖北省高级人民法院裁定，于2016年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0日减为有期徒刑十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，剥夺政治权利改为八年。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B0457">
        <w:rPr>
          <w:rFonts w:ascii="仿宋_GB2312" w:eastAsia="仿宋_GB2312" w:hAnsi="仿宋"/>
          <w:color w:val="0C0C0C"/>
          <w:sz w:val="32"/>
          <w:szCs w:val="32"/>
        </w:rPr>
        <w:t>剥夺政治权利八年不变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B04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B64CDB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王长兵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64CDB" w:rsidRPr="00B64CD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本次考核期内获得表扬7个：2019年07月、2019年09月、</w:t>
      </w:r>
      <w:r w:rsidR="00B64CDB" w:rsidRPr="00B64CD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2020年02月、2020年07月、2020年11月、2021年04月、2021年09月</w:t>
      </w:r>
      <w:r w:rsidR="00B64CD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64CDB" w:rsidRPr="00B64CD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获得物质奖励5个：2022年3月、2022年8月、2023年1月、2023年7月、2023年12月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375D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75D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</w:t>
      </w:r>
      <w:r w:rsidR="00375D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75D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75D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375D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、2021年10月28日</w:t>
      </w:r>
      <w:r w:rsidR="00375D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分别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执行财产刑</w:t>
      </w:r>
      <w:r w:rsidR="00375D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6000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375D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、30000元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。考核期内月均消费</w:t>
      </w:r>
      <w:r w:rsidR="00A4146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137.44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</w:t>
      </w:r>
      <w:r w:rsidR="00A4146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960.62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AB04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王长兵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A4146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因数罪并罚</w:t>
      </w:r>
      <w:r w:rsidR="00A4146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</w:t>
      </w:r>
      <w:r w:rsidR="00A4146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死缓</w:t>
      </w:r>
      <w:r w:rsidR="00A4146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财产性判项执行情况</w:t>
      </w:r>
      <w:r w:rsidR="00A4146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A4146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交付执行后的一贯表现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王长兵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E81D7B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AB0457">
        <w:rPr>
          <w:rFonts w:ascii="仿宋_GB2312" w:eastAsia="仿宋_GB2312" w:hAnsi="仿宋" w:hint="eastAsia"/>
          <w:color w:val="0C0C0C"/>
          <w:sz w:val="32"/>
          <w:szCs w:val="32"/>
        </w:rPr>
        <w:t>王长兵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A4146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4146B">
        <w:rPr>
          <w:rFonts w:ascii="仿宋_GB2312" w:eastAsia="仿宋_GB2312" w:hAnsi="仿宋"/>
          <w:color w:val="0C0C0C"/>
          <w:sz w:val="32"/>
          <w:szCs w:val="32"/>
        </w:rPr>
        <w:t>剥</w:t>
      </w:r>
      <w:bookmarkStart w:id="0" w:name="_GoBack"/>
      <w:bookmarkEnd w:id="0"/>
      <w:r w:rsidR="00A4146B">
        <w:rPr>
          <w:rFonts w:ascii="仿宋_GB2312" w:eastAsia="仿宋_GB2312" w:hAnsi="仿宋"/>
          <w:color w:val="0C0C0C"/>
          <w:sz w:val="32"/>
          <w:szCs w:val="32"/>
        </w:rPr>
        <w:t>夺政治权利八年不变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B04351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B04351" w:rsidRPr="00B04351">
        <w:rPr>
          <w:rFonts w:ascii="仿宋" w:eastAsia="仿宋" w:hAnsi="仿宋"/>
          <w:color w:val="0C0C0C"/>
          <w:sz w:val="32"/>
          <w:szCs w:val="32"/>
        </w:rPr>
        <w:t>5</w:t>
      </w:r>
      <w:r w:rsidRPr="00B04351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04351" w:rsidRPr="00B04351">
        <w:rPr>
          <w:rFonts w:ascii="仿宋" w:eastAsia="仿宋" w:hAnsi="仿宋"/>
          <w:color w:val="0C0C0C"/>
          <w:sz w:val="32"/>
          <w:szCs w:val="32"/>
        </w:rPr>
        <w:t>2</w:t>
      </w:r>
      <w:r w:rsidRPr="00B04351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04351" w:rsidRPr="00B04351">
        <w:rPr>
          <w:rFonts w:ascii="仿宋" w:eastAsia="仿宋" w:hAnsi="仿宋"/>
          <w:color w:val="0C0C0C"/>
          <w:sz w:val="32"/>
          <w:szCs w:val="32"/>
        </w:rPr>
        <w:t>14</w:t>
      </w:r>
      <w:r w:rsidRPr="00B04351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D7" w:rsidRDefault="00DA50D7" w:rsidP="00597579">
      <w:r>
        <w:separator/>
      </w:r>
    </w:p>
  </w:endnote>
  <w:endnote w:type="continuationSeparator" w:id="0">
    <w:p w:rsidR="00DA50D7" w:rsidRDefault="00DA50D7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D7" w:rsidRDefault="00DA50D7" w:rsidP="00597579">
      <w:r>
        <w:separator/>
      </w:r>
    </w:p>
  </w:footnote>
  <w:footnote w:type="continuationSeparator" w:id="0">
    <w:p w:rsidR="00DA50D7" w:rsidRDefault="00DA50D7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2515C"/>
    <w:rsid w:val="00270A75"/>
    <w:rsid w:val="00370192"/>
    <w:rsid w:val="00375D56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4146B"/>
    <w:rsid w:val="00AB0457"/>
    <w:rsid w:val="00AB7854"/>
    <w:rsid w:val="00B04351"/>
    <w:rsid w:val="00B64CDB"/>
    <w:rsid w:val="00BA7581"/>
    <w:rsid w:val="00C01C8F"/>
    <w:rsid w:val="00C04B66"/>
    <w:rsid w:val="00CA057C"/>
    <w:rsid w:val="00D25388"/>
    <w:rsid w:val="00D6071C"/>
    <w:rsid w:val="00DA50D7"/>
    <w:rsid w:val="00E81D7B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0435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0435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15</cp:revision>
  <cp:lastPrinted>2025-02-13T08:22:00Z</cp:lastPrinted>
  <dcterms:created xsi:type="dcterms:W3CDTF">2024-01-03T02:46:00Z</dcterms:created>
  <dcterms:modified xsi:type="dcterms:W3CDTF">2025-02-13T08:22:00Z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