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147AD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565280" w:rsidRPr="006558F1" w:rsidRDefault="00565280" w:rsidP="00565280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147AD4" w:rsidRDefault="00565280" w:rsidP="001E3424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1E3424">
              <w:rPr>
                <w:rFonts w:ascii="华文楷体" w:eastAsia="华文楷体" w:hAnsi="华文楷体" w:hint="eastAsia"/>
                <w:sz w:val="28"/>
                <w:szCs w:val="28"/>
              </w:rPr>
              <w:t>0211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147AD4" w:rsidRDefault="00147AD4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147AD4">
        <w:trPr>
          <w:trHeight w:val="11098"/>
        </w:trPr>
        <w:tc>
          <w:tcPr>
            <w:tcW w:w="9039" w:type="dxa"/>
          </w:tcPr>
          <w:p w:rsidR="00147AD4" w:rsidRDefault="004248D4" w:rsidP="006F39F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小波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65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月1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日生</w:t>
            </w:r>
            <w:r w:rsidR="006F39F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6F39F4">
              <w:rPr>
                <w:rFonts w:ascii="仿宋" w:eastAsia="仿宋" w:hAnsi="仿宋" w:cs="宋体"/>
                <w:kern w:val="0"/>
                <w:sz w:val="32"/>
                <w:szCs w:val="32"/>
              </w:rPr>
              <w:t>汉族，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中专</w:t>
            </w:r>
            <w:r w:rsidR="006F39F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 w:rsidR="006F39F4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无业</w:t>
            </w:r>
            <w:r w:rsidR="006F39F4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 w:rsidR="006F39F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原户籍所在地：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重庆市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5652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建始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县人民法院于202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29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)鄂282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刑初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小波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犯贩卖毒品罪，判处有期徒刑十五年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没收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个人财产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0000</w:t>
            </w:r>
            <w:r w:rsidR="00E80A0A">
              <w:rPr>
                <w:rFonts w:ascii="仿宋" w:eastAsia="仿宋" w:hAnsi="仿宋" w:cs="宋体"/>
                <w:kern w:val="0"/>
                <w:sz w:val="32"/>
                <w:szCs w:val="32"/>
              </w:rPr>
              <w:t>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 w:rsidR="0006295C">
              <w:rPr>
                <w:rFonts w:ascii="仿宋" w:eastAsia="仿宋" w:hAnsi="仿宋" w:cs="宋体"/>
                <w:kern w:val="0"/>
                <w:sz w:val="32"/>
                <w:szCs w:val="32"/>
              </w:rPr>
              <w:t>张</w:t>
            </w:r>
            <w:r w:rsidR="0006295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小波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湖北省恩施土家族苗族自治州中级人民法院提出上诉。湖北省恩施土家族苗族自治州中级人民法院于202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月2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)鄂28刑终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="00E80A0A">
              <w:rPr>
                <w:rFonts w:ascii="仿宋" w:eastAsia="仿宋" w:hAnsi="仿宋" w:cs="宋体"/>
                <w:kern w:val="0"/>
                <w:sz w:val="32"/>
                <w:szCs w:val="32"/>
              </w:rPr>
              <w:t>202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="00E80A0A"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="00E80A0A"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  <w:r w:rsidR="00E80A0A"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 w:rsidR="00E80A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日止。</w:t>
            </w:r>
          </w:p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该犯自入监以来，能够做到认罪悔罪，认真遵守法律法规及监规，接受教育改造；积极参加思想、文化、职业技术教育；积极参加劳动，努力完成任务。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</w:t>
            </w:r>
            <w:r w:rsidR="00E80A0A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E80A0A">
              <w:rPr>
                <w:rFonts w:ascii="仿宋" w:eastAsia="仿宋" w:hAnsi="仿宋" w:hint="eastAsia"/>
                <w:sz w:val="32"/>
                <w:szCs w:val="32"/>
              </w:rPr>
              <w:t>2023年1月，2023年7月，2024年1月，2024年7月，2024年12月</w:t>
            </w:r>
            <w:r w:rsidRPr="00F71EF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，累计获得</w:t>
            </w:r>
            <w:r w:rsidR="00E80A0A" w:rsidRPr="00F71EF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  <w:r w:rsidRPr="00F71EF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个表扬</w:t>
            </w:r>
            <w:r w:rsidRPr="00F71EF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。</w:t>
            </w:r>
            <w:r w:rsidRPr="00F71EF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2025年</w:t>
            </w:r>
            <w:r w:rsidR="0099328A" w:rsidRPr="00F71EF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2月27日执行罚没款</w:t>
            </w:r>
            <w:r w:rsidR="00E80A0A" w:rsidRPr="00F71EF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  <w:r w:rsidRPr="00F71EF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00元，</w:t>
            </w:r>
            <w:r w:rsidR="00F71EFE" w:rsidRPr="00F71EF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2022年7月14日湖北省建始县人民法院</w:t>
            </w:r>
            <w:proofErr w:type="gramStart"/>
            <w:r w:rsidR="00F71EFE" w:rsidRPr="00F71EF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作出</w:t>
            </w:r>
            <w:proofErr w:type="gramEnd"/>
            <w:r w:rsidR="00F71EFE" w:rsidRPr="00F71EF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（2022）鄂2822执1007号执行裁定书，终结本次执行</w:t>
            </w:r>
            <w:r w:rsidR="00F71EFE" w:rsidRPr="005652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程序</w:t>
            </w:r>
            <w:r w:rsidRPr="005652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565280" w:rsidRPr="005652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但该犯系</w:t>
            </w:r>
            <w:r w:rsidR="0099328A" w:rsidRPr="005652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毒品再犯，</w:t>
            </w:r>
            <w:r w:rsidR="00565280" w:rsidRPr="005652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且有前科，</w:t>
            </w:r>
            <w:r w:rsidR="0099328A" w:rsidRPr="00565280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99328A" w:rsidRPr="00565280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99328A" w:rsidRPr="00565280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犯罪情节、性质、社会危害程度，原判刑罚，交付执行后的一贯改造表现，应从严掌握减刑幅度。</w:t>
            </w:r>
            <w:r w:rsidR="00565280" w:rsidRPr="00565280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现的书面证明材料、财产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履行情况的有关单据、监狱内消费明细、监区对该犯呈报减刑的讨论记录、监狱评审委员会</w:t>
            </w:r>
            <w:r w:rsidR="00565280"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和监狱长办公会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对该犯减刑的意见。</w:t>
            </w:r>
          </w:p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张</w:t>
            </w:r>
            <w:r w:rsidR="00E80A0A">
              <w:rPr>
                <w:rFonts w:ascii="仿宋" w:eastAsia="仿宋" w:hAnsi="仿宋" w:hint="eastAsia"/>
                <w:sz w:val="32"/>
                <w:szCs w:val="32"/>
              </w:rPr>
              <w:t>小波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自入监以来，已过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565280" w:rsidRPr="00565280" w:rsidRDefault="00565280" w:rsidP="00565280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根据《中华人民共和国监狱法》第二十九条、《中华人民共和国刑法》第七十八条第一款、《中华人民共和国刑事诉讼法》</w:t>
            </w:r>
            <w:r w:rsidRPr="00565280">
              <w:rPr>
                <w:rFonts w:ascii="仿宋" w:eastAsia="仿宋" w:hAnsi="仿宋" w:hint="eastAsia"/>
                <w:sz w:val="32"/>
                <w:szCs w:val="32"/>
              </w:rPr>
              <w:t>第二百七十三条第二款之规定，建议将</w:t>
            </w:r>
            <w:r w:rsidR="006F39F4" w:rsidRPr="00565280">
              <w:rPr>
                <w:rFonts w:ascii="仿宋" w:eastAsia="仿宋" w:hAnsi="仿宋" w:hint="eastAsia"/>
                <w:sz w:val="32"/>
                <w:szCs w:val="32"/>
              </w:rPr>
              <w:t>罪犯</w:t>
            </w:r>
            <w:r w:rsidR="00E80A0A" w:rsidRPr="00565280">
              <w:rPr>
                <w:rFonts w:ascii="仿宋" w:eastAsia="仿宋" w:hAnsi="仿宋"/>
                <w:sz w:val="32"/>
                <w:szCs w:val="32"/>
              </w:rPr>
              <w:t>张</w:t>
            </w:r>
            <w:r w:rsidR="00E80A0A" w:rsidRPr="00565280">
              <w:rPr>
                <w:rFonts w:ascii="仿宋" w:eastAsia="仿宋" w:hAnsi="仿宋" w:hint="eastAsia"/>
                <w:sz w:val="32"/>
                <w:szCs w:val="32"/>
              </w:rPr>
              <w:t>小波</w:t>
            </w:r>
            <w:r w:rsidR="004248D4" w:rsidRPr="00565280">
              <w:rPr>
                <w:rFonts w:ascii="仿宋" w:eastAsia="仿宋" w:hAnsi="仿宋" w:hint="eastAsia"/>
                <w:sz w:val="32"/>
                <w:szCs w:val="32"/>
              </w:rPr>
              <w:t>的刑罚减去有期徒刑</w:t>
            </w:r>
            <w:r w:rsidR="00F71EFE" w:rsidRPr="00565280">
              <w:rPr>
                <w:rFonts w:ascii="仿宋" w:eastAsia="仿宋" w:hAnsi="仿宋" w:hint="eastAsia"/>
                <w:sz w:val="32"/>
                <w:szCs w:val="32"/>
              </w:rPr>
              <w:t>四</w:t>
            </w:r>
            <w:r w:rsidR="004248D4" w:rsidRPr="00565280">
              <w:rPr>
                <w:rFonts w:ascii="仿宋" w:eastAsia="仿宋" w:hAnsi="仿宋"/>
                <w:sz w:val="32"/>
                <w:szCs w:val="32"/>
              </w:rPr>
              <w:t>个月</w:t>
            </w:r>
            <w:r w:rsidR="004248D4" w:rsidRPr="00565280"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 w:rsidRPr="00565280">
              <w:rPr>
                <w:rFonts w:ascii="仿宋" w:eastAsia="仿宋" w:hAnsi="仿宋" w:hint="eastAsia"/>
                <w:sz w:val="32"/>
                <w:szCs w:val="32"/>
              </w:rPr>
              <w:t>特报请裁定。</w:t>
            </w:r>
            <w:r w:rsidRPr="00565280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  <w:p w:rsidR="00565280" w:rsidRPr="00565280" w:rsidRDefault="00565280" w:rsidP="00565280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565280">
              <w:rPr>
                <w:rFonts w:ascii="仿宋" w:eastAsia="仿宋" w:hAnsi="仿宋" w:hint="eastAsia"/>
                <w:sz w:val="32"/>
                <w:szCs w:val="32"/>
              </w:rPr>
              <w:t xml:space="preserve">此致  </w:t>
            </w:r>
          </w:p>
          <w:p w:rsidR="00565280" w:rsidRPr="00565280" w:rsidRDefault="00565280" w:rsidP="00565280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565280">
              <w:rPr>
                <w:rFonts w:ascii="仿宋" w:eastAsia="仿宋" w:hAnsi="仿宋" w:hint="eastAsia"/>
                <w:sz w:val="32"/>
                <w:szCs w:val="32"/>
              </w:rPr>
              <w:t>湖北省宜昌市中级人民法院</w:t>
            </w:r>
          </w:p>
          <w:p w:rsidR="00565280" w:rsidRDefault="00565280" w:rsidP="00565280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65280" w:rsidRPr="00223408" w:rsidRDefault="00565280" w:rsidP="00565280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147AD4" w:rsidRDefault="00565280" w:rsidP="00565280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1E342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</w:p>
        </w:tc>
      </w:tr>
      <w:tr w:rsidR="00147AD4">
        <w:trPr>
          <w:trHeight w:val="1956"/>
        </w:trPr>
        <w:tc>
          <w:tcPr>
            <w:tcW w:w="9039" w:type="dxa"/>
            <w:vAlign w:val="bottom"/>
          </w:tcPr>
          <w:p w:rsidR="00147AD4" w:rsidRDefault="00147AD4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sectPr w:rsidR="00147AD4" w:rsidSect="00147AD4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45" w:rsidRDefault="00491145" w:rsidP="00147AD4">
      <w:r>
        <w:separator/>
      </w:r>
    </w:p>
  </w:endnote>
  <w:endnote w:type="continuationSeparator" w:id="0">
    <w:p w:rsidR="00491145" w:rsidRDefault="00491145" w:rsidP="001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45" w:rsidRDefault="00491145" w:rsidP="00147AD4">
      <w:r>
        <w:separator/>
      </w:r>
    </w:p>
  </w:footnote>
  <w:footnote w:type="continuationSeparator" w:id="0">
    <w:p w:rsidR="00491145" w:rsidRDefault="00491145" w:rsidP="0014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D4" w:rsidRDefault="00147AD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0560F"/>
    <w:rsid w:val="00010204"/>
    <w:rsid w:val="00017291"/>
    <w:rsid w:val="00053C62"/>
    <w:rsid w:val="0006295C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AD4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E3424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330B5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0CDE"/>
    <w:rsid w:val="002A1BF1"/>
    <w:rsid w:val="002A3A17"/>
    <w:rsid w:val="002A49DD"/>
    <w:rsid w:val="002A500D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03E7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427F"/>
    <w:rsid w:val="003C52D7"/>
    <w:rsid w:val="003D6C9C"/>
    <w:rsid w:val="003E195F"/>
    <w:rsid w:val="003E5FDE"/>
    <w:rsid w:val="003F3619"/>
    <w:rsid w:val="00423E37"/>
    <w:rsid w:val="004248D4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1145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65280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D1EEB"/>
    <w:rsid w:val="006D6852"/>
    <w:rsid w:val="006D7B13"/>
    <w:rsid w:val="006E0877"/>
    <w:rsid w:val="006E61E3"/>
    <w:rsid w:val="006F006C"/>
    <w:rsid w:val="006F1F17"/>
    <w:rsid w:val="006F39F4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50D5"/>
    <w:rsid w:val="007377FB"/>
    <w:rsid w:val="00740501"/>
    <w:rsid w:val="0075119B"/>
    <w:rsid w:val="00762404"/>
    <w:rsid w:val="00763297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19FD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69CC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87525"/>
    <w:rsid w:val="0099328A"/>
    <w:rsid w:val="00996140"/>
    <w:rsid w:val="009B74B3"/>
    <w:rsid w:val="009D4A15"/>
    <w:rsid w:val="009E02F8"/>
    <w:rsid w:val="009E1D5B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91BE5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0A0A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1EFE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5EC5057"/>
    <w:rsid w:val="0D3237EF"/>
    <w:rsid w:val="0E592C87"/>
    <w:rsid w:val="17AC43BF"/>
    <w:rsid w:val="1E672AA3"/>
    <w:rsid w:val="20BA7C2C"/>
    <w:rsid w:val="24D22676"/>
    <w:rsid w:val="27C052F3"/>
    <w:rsid w:val="29773B9B"/>
    <w:rsid w:val="2CF3514C"/>
    <w:rsid w:val="2F0857C2"/>
    <w:rsid w:val="31EC031F"/>
    <w:rsid w:val="32B902C1"/>
    <w:rsid w:val="35662F31"/>
    <w:rsid w:val="38F802A1"/>
    <w:rsid w:val="3AD87FCC"/>
    <w:rsid w:val="40093884"/>
    <w:rsid w:val="417E01B4"/>
    <w:rsid w:val="42A473F3"/>
    <w:rsid w:val="4F9C1FE7"/>
    <w:rsid w:val="506530BB"/>
    <w:rsid w:val="51992FD3"/>
    <w:rsid w:val="526C193C"/>
    <w:rsid w:val="5488368C"/>
    <w:rsid w:val="54AD7DE2"/>
    <w:rsid w:val="563751DD"/>
    <w:rsid w:val="5A2407EC"/>
    <w:rsid w:val="5B0B0A45"/>
    <w:rsid w:val="5B5E63DA"/>
    <w:rsid w:val="5C391823"/>
    <w:rsid w:val="6AC82FF8"/>
    <w:rsid w:val="6C963990"/>
    <w:rsid w:val="6D881360"/>
    <w:rsid w:val="6E0317AB"/>
    <w:rsid w:val="70435646"/>
    <w:rsid w:val="70F2184A"/>
    <w:rsid w:val="73E060FE"/>
    <w:rsid w:val="76BA7FAB"/>
    <w:rsid w:val="77CF3A1B"/>
    <w:rsid w:val="7E7D4D92"/>
    <w:rsid w:val="7F0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47AD4"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sid w:val="00147AD4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rsid w:val="00147AD4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sid w:val="00147AD4"/>
    <w:rPr>
      <w:sz w:val="18"/>
      <w:szCs w:val="18"/>
    </w:rPr>
  </w:style>
  <w:style w:type="paragraph" w:styleId="a7">
    <w:name w:val="footer"/>
    <w:basedOn w:val="a"/>
    <w:link w:val="Char1"/>
    <w:qFormat/>
    <w:rsid w:val="00147A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14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14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47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sid w:val="00147AD4"/>
    <w:rPr>
      <w:sz w:val="18"/>
      <w:szCs w:val="18"/>
    </w:rPr>
  </w:style>
  <w:style w:type="character" w:customStyle="1" w:styleId="Char2">
    <w:name w:val="页眉 Char"/>
    <w:link w:val="a8"/>
    <w:qFormat/>
    <w:rsid w:val="00147AD4"/>
    <w:rPr>
      <w:sz w:val="18"/>
      <w:szCs w:val="18"/>
    </w:rPr>
  </w:style>
  <w:style w:type="paragraph" w:styleId="ab">
    <w:name w:val="No Spacing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147AD4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sid w:val="00147AD4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153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11</cp:revision>
  <cp:lastPrinted>2018-06-05T07:14:00Z</cp:lastPrinted>
  <dcterms:created xsi:type="dcterms:W3CDTF">2025-07-11T00:13:00Z</dcterms:created>
  <dcterms:modified xsi:type="dcterms:W3CDTF">2025-11-28T05:44:00Z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A64CF56F19774E9E9AE4567185438C55_12</vt:lpwstr>
  </property>
</Properties>
</file>